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531B56" w:rsidRDefault="31545738" w:rsidP="31545738">
      <w:pPr>
        <w:spacing w:after="0"/>
        <w:rPr>
          <w:rFonts w:ascii="Calibri" w:eastAsia="Calibri" w:hAnsi="Calibri" w:cs="Calibri"/>
          <w:b/>
          <w:bCs/>
          <w:color w:val="2F5496"/>
          <w:sz w:val="18"/>
          <w:szCs w:val="18"/>
        </w:rPr>
      </w:pPr>
      <w:r w:rsidRPr="31545738">
        <w:rPr>
          <w:rFonts w:ascii="Calibri" w:eastAsia="Calibri" w:hAnsi="Calibri" w:cs="Calibri"/>
          <w:b/>
          <w:bCs/>
          <w:color w:val="2F5496"/>
          <w:sz w:val="18"/>
          <w:szCs w:val="18"/>
        </w:rPr>
        <w:t>UNT DALLAS · COURSE PLANNING GUIDE</w:t>
      </w:r>
    </w:p>
    <w:p w14:paraId="53AA7852" w14:textId="77777777" w:rsidR="00531B56" w:rsidRDefault="31545738" w:rsidP="31545738">
      <w:pPr>
        <w:spacing w:after="20"/>
        <w:rPr>
          <w:rFonts w:ascii="Calibri" w:eastAsia="Calibri" w:hAnsi="Calibri" w:cs="Calibri"/>
          <w:b/>
          <w:bCs/>
          <w:color w:val="1F3864"/>
          <w:sz w:val="27"/>
          <w:szCs w:val="27"/>
        </w:rPr>
      </w:pPr>
      <w:r w:rsidRPr="31545738">
        <w:rPr>
          <w:rFonts w:ascii="Calibri" w:eastAsia="Calibri" w:hAnsi="Calibri" w:cs="Calibri"/>
          <w:b/>
          <w:bCs/>
          <w:color w:val="1F3864"/>
          <w:sz w:val="27"/>
          <w:szCs w:val="27"/>
        </w:rPr>
        <w:t>Simulation — Course Planning Guide</w:t>
      </w:r>
    </w:p>
    <w:p w14:paraId="04AF5C08" w14:textId="77777777" w:rsidR="00531B56" w:rsidRDefault="31545738" w:rsidP="31545738">
      <w:pPr>
        <w:spacing w:after="0"/>
        <w:rPr>
          <w:rFonts w:ascii="Calibri" w:eastAsia="Calibri" w:hAnsi="Calibri" w:cs="Calibri"/>
          <w:b/>
          <w:bCs/>
          <w:color w:val="1F3864"/>
          <w:sz w:val="18"/>
          <w:szCs w:val="18"/>
        </w:rPr>
      </w:pPr>
      <w:r w:rsidRPr="31545738">
        <w:rPr>
          <w:rFonts w:ascii="Calibri" w:eastAsia="Calibri" w:hAnsi="Calibri" w:cs="Calibri"/>
          <w:b/>
          <w:bCs/>
          <w:color w:val="1F3864"/>
          <w:sz w:val="18"/>
          <w:szCs w:val="18"/>
        </w:rPr>
        <w:t>Course: MGMT 4363: Business Policy and Strategy (SAMPLE)</w:t>
      </w:r>
    </w:p>
    <w:p w14:paraId="734CA670" w14:textId="40C2C0EC" w:rsidR="00531B56" w:rsidRDefault="31545738" w:rsidP="5A694872">
      <w:pPr>
        <w:spacing w:after="60"/>
        <w:rPr>
          <w:rFonts w:ascii="Calibri" w:eastAsia="Calibri" w:hAnsi="Calibri" w:cs="Calibri"/>
          <w:b/>
          <w:bCs/>
          <w:color w:val="1F3864"/>
          <w:szCs w:val="16"/>
        </w:rPr>
      </w:pPr>
      <w:r w:rsidRPr="5A694872">
        <w:rPr>
          <w:rFonts w:ascii="Calibri" w:eastAsia="Calibri" w:hAnsi="Calibri" w:cs="Calibri"/>
          <w:color w:val="1F3864"/>
          <w:szCs w:val="16"/>
        </w:rPr>
        <w:t xml:space="preserve">Does the plan seek additional </w:t>
      </w:r>
      <w:r w:rsidR="4A6E27AC" w:rsidRPr="5A694872">
        <w:rPr>
          <w:rFonts w:ascii="Calibri" w:eastAsia="Calibri" w:hAnsi="Calibri" w:cs="Calibri"/>
          <w:color w:val="1F3864"/>
          <w:szCs w:val="16"/>
        </w:rPr>
        <w:t xml:space="preserve">High Intensity Employer Engagement </w:t>
      </w:r>
      <w:r w:rsidRPr="5A694872">
        <w:rPr>
          <w:rFonts w:ascii="Calibri" w:eastAsia="Calibri" w:hAnsi="Calibri" w:cs="Calibri"/>
          <w:color w:val="1F3864"/>
          <w:szCs w:val="16"/>
        </w:rPr>
        <w:t xml:space="preserve">designation for Simulation Partner Engagement? </w:t>
      </w:r>
      <w:r w:rsidRPr="5A694872">
        <w:rPr>
          <w:rFonts w:ascii="Calibri" w:eastAsia="Calibri" w:hAnsi="Calibri" w:cs="Calibri"/>
          <w:b/>
          <w:bCs/>
          <w:color w:val="1F3864"/>
          <w:szCs w:val="16"/>
        </w:rPr>
        <w:t>No</w:t>
      </w:r>
    </w:p>
    <w:tbl>
      <w:tblPr>
        <w:tblW w:w="0" w:type="auto"/>
        <w:jc w:val="center"/>
        <w:tblLook w:val="04A0" w:firstRow="1" w:lastRow="0" w:firstColumn="1" w:lastColumn="0" w:noHBand="0" w:noVBand="1"/>
      </w:tblPr>
      <w:tblGrid>
        <w:gridCol w:w="11002"/>
      </w:tblGrid>
      <w:tr w:rsidR="00531B56" w14:paraId="5397B510" w14:textId="77777777" w:rsidTr="5A694872">
        <w:trPr>
          <w:jc w:val="center"/>
        </w:trPr>
        <w:tc>
          <w:tcPr>
            <w:tcW w:w="11002" w:type="dxa"/>
            <w:tcBorders>
              <w:top w:val="single" w:sz="8" w:space="0" w:color="B4C7E7"/>
              <w:left w:val="single" w:sz="8" w:space="0" w:color="B4C7E7"/>
              <w:bottom w:val="single" w:sz="8" w:space="0" w:color="B4C7E7"/>
              <w:right w:val="single" w:sz="8" w:space="0" w:color="B4C7E7"/>
            </w:tcBorders>
            <w:shd w:val="clear" w:color="auto" w:fill="EAF1F8"/>
            <w:tcMar>
              <w:top w:w="46" w:type="dxa"/>
              <w:left w:w="92" w:type="dxa"/>
              <w:bottom w:w="46" w:type="dxa"/>
              <w:right w:w="92" w:type="dxa"/>
            </w:tcMar>
          </w:tcPr>
          <w:p w14:paraId="6C7B8906" w14:textId="3CC52070" w:rsidR="00531B56" w:rsidRDefault="64258CF6" w:rsidP="5A694872">
            <w:pPr>
              <w:spacing w:after="80"/>
              <w:rPr>
                <w:rFonts w:ascii="Calibri" w:eastAsia="Calibri" w:hAnsi="Calibri" w:cs="Calibri"/>
                <w:color w:val="000000" w:themeColor="text1"/>
                <w:sz w:val="19"/>
                <w:szCs w:val="19"/>
              </w:rPr>
            </w:pPr>
            <w:r w:rsidRPr="5A694872">
              <w:rPr>
                <w:rFonts w:ascii="Calibri" w:eastAsia="Calibri" w:hAnsi="Calibri" w:cs="Calibri"/>
                <w:b/>
                <w:bCs/>
                <w:color w:val="000000" w:themeColor="text1"/>
                <w:sz w:val="19"/>
                <w:szCs w:val="19"/>
              </w:rPr>
              <w:t xml:space="preserve">Purpose. </w:t>
            </w:r>
            <w:r w:rsidRPr="5A694872">
              <w:rPr>
                <w:rFonts w:ascii="Calibri" w:eastAsia="Calibri" w:hAnsi="Calibri" w:cs="Calibri"/>
                <w:color w:val="000000" w:themeColor="text1"/>
                <w:sz w:val="19"/>
                <w:szCs w:val="19"/>
              </w:rPr>
              <w:t xml:space="preserve">This document is a planning tool for faculty designing or redesigning a course that includes </w:t>
            </w:r>
            <w:r w:rsidR="67FCA8A4" w:rsidRPr="5A694872">
              <w:rPr>
                <w:rFonts w:ascii="Calibri" w:eastAsia="Calibri" w:hAnsi="Calibri" w:cs="Calibri"/>
                <w:color w:val="000000" w:themeColor="text1"/>
                <w:sz w:val="19"/>
                <w:szCs w:val="19"/>
              </w:rPr>
              <w:t>simulations</w:t>
            </w:r>
            <w:r w:rsidRPr="5A694872">
              <w:rPr>
                <w:rFonts w:ascii="Calibri" w:eastAsia="Calibri" w:hAnsi="Calibri" w:cs="Calibri"/>
                <w:color w:val="000000" w:themeColor="text1"/>
                <w:sz w:val="19"/>
                <w:szCs w:val="19"/>
              </w:rPr>
              <w:t xml:space="preserve">, with or without an external partner. Please visit the Framework website and other resources to inform planning. This completed form is then uploaded to Coursedog as part of the curriculum review process.  </w:t>
            </w:r>
          </w:p>
          <w:p w14:paraId="7E5EC148" w14:textId="55D75946" w:rsidR="00531B56" w:rsidRDefault="64258CF6" w:rsidP="5A694872">
            <w:pPr>
              <w:spacing w:after="0"/>
              <w:rPr>
                <w:rFonts w:ascii="Calibri" w:eastAsia="Calibri" w:hAnsi="Calibri" w:cs="Calibri"/>
                <w:color w:val="000000" w:themeColor="text1"/>
                <w:sz w:val="19"/>
                <w:szCs w:val="19"/>
              </w:rPr>
            </w:pPr>
            <w:r w:rsidRPr="5A694872">
              <w:rPr>
                <w:rFonts w:ascii="Calibri" w:eastAsia="Calibri" w:hAnsi="Calibri" w:cs="Calibri"/>
                <w:b/>
                <w:bCs/>
                <w:color w:val="000000" w:themeColor="text1"/>
                <w:sz w:val="19"/>
                <w:szCs w:val="19"/>
              </w:rPr>
              <w:t xml:space="preserve">How to </w:t>
            </w:r>
            <w:bookmarkStart w:id="0" w:name="_Int_geJonK46"/>
            <w:r w:rsidRPr="5A694872">
              <w:rPr>
                <w:rFonts w:ascii="Calibri" w:eastAsia="Calibri" w:hAnsi="Calibri" w:cs="Calibri"/>
                <w:b/>
                <w:bCs/>
                <w:color w:val="000000" w:themeColor="text1"/>
                <w:sz w:val="19"/>
                <w:szCs w:val="19"/>
              </w:rPr>
              <w:t>use</w:t>
            </w:r>
            <w:bookmarkEnd w:id="0"/>
            <w:r w:rsidRPr="5A694872">
              <w:rPr>
                <w:rFonts w:ascii="Calibri" w:eastAsia="Calibri" w:hAnsi="Calibri" w:cs="Calibri"/>
                <w:b/>
                <w:bCs/>
                <w:color w:val="000000" w:themeColor="text1"/>
                <w:sz w:val="19"/>
                <w:szCs w:val="19"/>
              </w:rPr>
              <w:t xml:space="preserve">. </w:t>
            </w:r>
            <w:r w:rsidRPr="5A694872">
              <w:rPr>
                <w:rFonts w:ascii="Calibri" w:eastAsia="Calibri" w:hAnsi="Calibri" w:cs="Calibri"/>
                <w:color w:val="000000" w:themeColor="text1"/>
                <w:sz w:val="19"/>
                <w:szCs w:val="19"/>
              </w:rPr>
              <w:t xml:space="preserve">Review criteria below, which define high-quality indicators of this practice. Use the column to the right for elaboration and evidence, which will also serve to guide curriculum reviewers to locate evidence within the submitted syllabus, assignments, and any other relevant artifacts. Use Criterion </w:t>
            </w:r>
            <w:r w:rsidR="63D32F74" w:rsidRPr="5A694872">
              <w:rPr>
                <w:rFonts w:ascii="Calibri" w:eastAsia="Calibri" w:hAnsi="Calibri" w:cs="Calibri"/>
                <w:color w:val="000000" w:themeColor="text1"/>
                <w:sz w:val="19"/>
                <w:szCs w:val="19"/>
              </w:rPr>
              <w:t>6</w:t>
            </w:r>
            <w:r w:rsidRPr="5A694872">
              <w:rPr>
                <w:rFonts w:ascii="Calibri" w:eastAsia="Calibri" w:hAnsi="Calibri" w:cs="Calibri"/>
                <w:color w:val="000000" w:themeColor="text1"/>
                <w:sz w:val="19"/>
                <w:szCs w:val="19"/>
              </w:rPr>
              <w:t xml:space="preserve"> only if the course is intended to systematically integrate an employer, industry, or community partner for High-Intensity Employer Engagement Designation.</w:t>
            </w:r>
          </w:p>
        </w:tc>
      </w:tr>
    </w:tbl>
    <w:p w14:paraId="672A6659" w14:textId="77777777" w:rsidR="00531B56" w:rsidRDefault="00531B56" w:rsidP="31545738">
      <w:pPr>
        <w:spacing w:after="0"/>
        <w:rPr>
          <w:rFonts w:ascii="Calibri" w:eastAsia="Calibri" w:hAnsi="Calibri" w:cs="Calibri"/>
        </w:rPr>
      </w:pPr>
    </w:p>
    <w:tbl>
      <w:tblPr>
        <w:tblW w:w="10685" w:type="dxa"/>
        <w:jc w:val="center"/>
        <w:tblLayout w:type="fixed"/>
        <w:tblLook w:val="04A0" w:firstRow="1" w:lastRow="0" w:firstColumn="1" w:lastColumn="0" w:noHBand="0" w:noVBand="1"/>
      </w:tblPr>
      <w:tblGrid>
        <w:gridCol w:w="5010"/>
        <w:gridCol w:w="5675"/>
      </w:tblGrid>
      <w:tr w:rsidR="00531B56" w14:paraId="664353B7" w14:textId="77777777" w:rsidTr="5A694872">
        <w:trPr>
          <w:tblHeader/>
          <w:jc w:val="center"/>
        </w:trPr>
        <w:tc>
          <w:tcPr>
            <w:tcW w:w="5010" w:type="dxa"/>
            <w:tcBorders>
              <w:top w:val="single" w:sz="4" w:space="0" w:color="1F3864"/>
              <w:left w:val="single" w:sz="4" w:space="0" w:color="1F3864"/>
              <w:bottom w:val="single" w:sz="4" w:space="0" w:color="1F3864"/>
              <w:right w:val="single" w:sz="4" w:space="0" w:color="1F3864"/>
            </w:tcBorders>
            <w:shd w:val="clear" w:color="auto" w:fill="1F3864"/>
            <w:tcMar>
              <w:top w:w="38" w:type="dxa"/>
              <w:left w:w="70" w:type="dxa"/>
              <w:bottom w:w="38" w:type="dxa"/>
              <w:right w:w="70" w:type="dxa"/>
            </w:tcMar>
          </w:tcPr>
          <w:p w14:paraId="1FDF52F2" w14:textId="77777777" w:rsidR="00531B56" w:rsidRDefault="31545738" w:rsidP="31545738">
            <w:pPr>
              <w:rPr>
                <w:rFonts w:ascii="Calibri" w:eastAsia="Calibri" w:hAnsi="Calibri" w:cs="Calibri"/>
                <w:b/>
                <w:bCs/>
                <w:color w:val="FFFFFF" w:themeColor="background1"/>
                <w:sz w:val="19"/>
                <w:szCs w:val="19"/>
              </w:rPr>
            </w:pPr>
            <w:r w:rsidRPr="31545738">
              <w:rPr>
                <w:rFonts w:ascii="Calibri" w:eastAsia="Calibri" w:hAnsi="Calibri" w:cs="Calibri"/>
                <w:b/>
                <w:bCs/>
                <w:color w:val="FFFFFF" w:themeColor="background1"/>
                <w:sz w:val="19"/>
                <w:szCs w:val="19"/>
              </w:rPr>
              <w:t>Criteria</w:t>
            </w:r>
          </w:p>
        </w:tc>
        <w:tc>
          <w:tcPr>
            <w:tcW w:w="5675" w:type="dxa"/>
            <w:tcBorders>
              <w:top w:val="single" w:sz="4" w:space="0" w:color="1F3864"/>
              <w:left w:val="single" w:sz="4" w:space="0" w:color="1F3864"/>
              <w:bottom w:val="single" w:sz="4" w:space="0" w:color="1F3864"/>
              <w:right w:val="single" w:sz="4" w:space="0" w:color="1F3864"/>
            </w:tcBorders>
            <w:shd w:val="clear" w:color="auto" w:fill="1F3864"/>
            <w:tcMar>
              <w:top w:w="38" w:type="dxa"/>
              <w:left w:w="70" w:type="dxa"/>
              <w:bottom w:w="38" w:type="dxa"/>
              <w:right w:w="70" w:type="dxa"/>
            </w:tcMar>
          </w:tcPr>
          <w:p w14:paraId="24A83C6E" w14:textId="77777777" w:rsidR="00531B56" w:rsidRDefault="31545738" w:rsidP="31545738">
            <w:pPr>
              <w:rPr>
                <w:rFonts w:ascii="Calibri" w:eastAsia="Calibri" w:hAnsi="Calibri" w:cs="Calibri"/>
                <w:b/>
                <w:bCs/>
                <w:color w:val="FFFFFF" w:themeColor="background1"/>
                <w:sz w:val="19"/>
                <w:szCs w:val="19"/>
              </w:rPr>
            </w:pPr>
            <w:r w:rsidRPr="31545738">
              <w:rPr>
                <w:rFonts w:ascii="Calibri" w:eastAsia="Calibri" w:hAnsi="Calibri" w:cs="Calibri"/>
                <w:b/>
                <w:bCs/>
                <w:color w:val="FFFFFF" w:themeColor="background1"/>
                <w:sz w:val="19"/>
                <w:szCs w:val="19"/>
              </w:rPr>
              <w:t>Elaboration &amp; Evidence</w:t>
            </w:r>
          </w:p>
        </w:tc>
      </w:tr>
      <w:tr w:rsidR="00531B56" w14:paraId="648642B4" w14:textId="77777777" w:rsidTr="5A694872">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063F7AE3" w14:textId="77777777" w:rsidR="00531B56" w:rsidRDefault="31545738" w:rsidP="5A694872">
            <w:pPr>
              <w:spacing w:after="20"/>
              <w:rPr>
                <w:rFonts w:ascii="Calibri" w:eastAsia="Calibri" w:hAnsi="Calibri" w:cs="Calibri"/>
                <w:b/>
                <w:bCs/>
                <w:color w:val="1F3864"/>
                <w:sz w:val="18"/>
                <w:szCs w:val="18"/>
              </w:rPr>
            </w:pPr>
            <w:r w:rsidRPr="5A694872">
              <w:rPr>
                <w:rFonts w:ascii="Calibri" w:eastAsia="Calibri" w:hAnsi="Calibri" w:cs="Calibri"/>
                <w:b/>
                <w:bCs/>
                <w:color w:val="1F3864"/>
                <w:sz w:val="18"/>
                <w:szCs w:val="18"/>
              </w:rPr>
              <w:t>Purposeful Design &amp; Academic Rigor</w:t>
            </w:r>
          </w:p>
          <w:p w14:paraId="02C17CE6" w14:textId="77777777" w:rsidR="00531B56" w:rsidRDefault="31545738" w:rsidP="5A694872">
            <w:pPr>
              <w:spacing w:after="0" w:line="240" w:lineRule="auto"/>
              <w:rPr>
                <w:rFonts w:ascii="Calibri" w:eastAsia="Calibri" w:hAnsi="Calibri" w:cs="Calibri"/>
                <w:color w:val="000000" w:themeColor="text1"/>
                <w:sz w:val="18"/>
                <w:szCs w:val="18"/>
              </w:rPr>
            </w:pPr>
            <w:r w:rsidRPr="5A694872">
              <w:rPr>
                <w:rFonts w:ascii="Calibri" w:eastAsia="Calibri" w:hAnsi="Calibri" w:cs="Calibri"/>
                <w:color w:val="000000" w:themeColor="text1"/>
                <w:sz w:val="18"/>
                <w:szCs w:val="18"/>
              </w:rPr>
              <w:t>The course is intentionally designed, academically rigorous, and aligned with course and program learning outcomes. Students engage in structured simulation activities that require preparation, participation, decision-making, reflection, and application of knowledge in increasingly complex scenarios.</w:t>
            </w:r>
          </w:p>
        </w:tc>
        <w:tc>
          <w:tcPr>
            <w:tcW w:w="5675"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31411288" w14:textId="77777777" w:rsidR="00531B56" w:rsidRDefault="31545738" w:rsidP="5A694872">
            <w:pPr>
              <w:spacing w:after="20" w:line="240" w:lineRule="auto"/>
              <w:rPr>
                <w:rFonts w:ascii="Calibri" w:eastAsia="Calibri" w:hAnsi="Calibri" w:cs="Calibri"/>
                <w:sz w:val="18"/>
                <w:szCs w:val="18"/>
              </w:rPr>
            </w:pPr>
            <w:r w:rsidRPr="5A694872">
              <w:rPr>
                <w:rFonts w:ascii="Calibri" w:eastAsia="Calibri" w:hAnsi="Calibri" w:cs="Calibri"/>
                <w:sz w:val="18"/>
                <w:szCs w:val="18"/>
              </w:rPr>
              <w:t>Students complete a strategy course in which CAPSIM and Comp-XM simulations serve as central learning activities. Simulation participation, strategic planning, reporting, and presentation assignments are integrated throughout the semester and aligned with course learning outcomes.</w:t>
            </w:r>
          </w:p>
          <w:p w14:paraId="61521E44" w14:textId="77777777" w:rsidR="00531B56" w:rsidRDefault="31545738" w:rsidP="5A694872">
            <w:pPr>
              <w:spacing w:before="20" w:after="0" w:line="240" w:lineRule="auto"/>
              <w:rPr>
                <w:rFonts w:ascii="Calibri" w:eastAsia="Calibri" w:hAnsi="Calibri" w:cs="Calibri"/>
                <w:b/>
                <w:bCs/>
                <w:color w:val="000000" w:themeColor="text1"/>
                <w:sz w:val="18"/>
                <w:szCs w:val="18"/>
              </w:rPr>
            </w:pPr>
            <w:r w:rsidRPr="5A694872">
              <w:rPr>
                <w:rFonts w:ascii="Calibri" w:eastAsia="Calibri" w:hAnsi="Calibri" w:cs="Calibri"/>
                <w:b/>
                <w:bCs/>
                <w:color w:val="000000" w:themeColor="text1"/>
                <w:sz w:val="18"/>
                <w:szCs w:val="18"/>
              </w:rPr>
              <w:t>Evidence: Student Learning Outcomes (p. 3); CAPSIM Simulation Requirements (p. 5); Course Schedule (pp. 10-13).</w:t>
            </w:r>
          </w:p>
        </w:tc>
      </w:tr>
      <w:tr w:rsidR="00531B56" w14:paraId="1C162A40" w14:textId="77777777" w:rsidTr="5A694872">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2" w:type="dxa"/>
              <w:left w:w="60" w:type="dxa"/>
              <w:bottom w:w="32" w:type="dxa"/>
              <w:right w:w="60" w:type="dxa"/>
            </w:tcMar>
          </w:tcPr>
          <w:p w14:paraId="15B779E5" w14:textId="77777777" w:rsidR="00531B56" w:rsidRDefault="31545738" w:rsidP="5A694872">
            <w:pPr>
              <w:spacing w:after="20"/>
              <w:rPr>
                <w:rFonts w:ascii="Calibri" w:eastAsia="Calibri" w:hAnsi="Calibri" w:cs="Calibri"/>
                <w:b/>
                <w:bCs/>
                <w:color w:val="1F3864"/>
                <w:sz w:val="18"/>
                <w:szCs w:val="18"/>
              </w:rPr>
            </w:pPr>
            <w:r w:rsidRPr="5A694872">
              <w:rPr>
                <w:rFonts w:ascii="Calibri" w:eastAsia="Calibri" w:hAnsi="Calibri" w:cs="Calibri"/>
                <w:b/>
                <w:bCs/>
                <w:color w:val="1F3864"/>
                <w:sz w:val="18"/>
                <w:szCs w:val="18"/>
              </w:rPr>
              <w:t>Integration &amp; Application of Learning</w:t>
            </w:r>
          </w:p>
          <w:p w14:paraId="4367E81B" w14:textId="77777777" w:rsidR="00531B56" w:rsidRDefault="31545738" w:rsidP="5A694872">
            <w:pPr>
              <w:spacing w:after="0" w:line="240" w:lineRule="auto"/>
              <w:rPr>
                <w:rFonts w:ascii="Calibri" w:eastAsia="Calibri" w:hAnsi="Calibri" w:cs="Calibri"/>
                <w:color w:val="000000" w:themeColor="text1"/>
                <w:sz w:val="18"/>
                <w:szCs w:val="18"/>
              </w:rPr>
            </w:pPr>
            <w:r w:rsidRPr="5A694872">
              <w:rPr>
                <w:rFonts w:ascii="Calibri" w:eastAsia="Calibri" w:hAnsi="Calibri" w:cs="Calibri"/>
                <w:color w:val="000000" w:themeColor="text1"/>
                <w:sz w:val="18"/>
                <w:szCs w:val="18"/>
              </w:rPr>
              <w:t>Students apply knowledge, skills, theories, and practices from prior learning to make decisions and respond to challenges within simulated environments. Simulation activities require students to connect academic learning with professional judgment, problem-solving, and decision-making in realistic contexts.</w:t>
            </w:r>
          </w:p>
        </w:tc>
        <w:tc>
          <w:tcPr>
            <w:tcW w:w="567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2" w:type="dxa"/>
              <w:left w:w="60" w:type="dxa"/>
              <w:bottom w:w="32" w:type="dxa"/>
              <w:right w:w="60" w:type="dxa"/>
            </w:tcMar>
          </w:tcPr>
          <w:p w14:paraId="5FA9F1AA" w14:textId="77777777" w:rsidR="00531B56" w:rsidRDefault="31545738" w:rsidP="5A694872">
            <w:pPr>
              <w:spacing w:after="20" w:line="240" w:lineRule="auto"/>
              <w:rPr>
                <w:rFonts w:ascii="Calibri" w:eastAsia="Calibri" w:hAnsi="Calibri" w:cs="Calibri"/>
                <w:sz w:val="18"/>
                <w:szCs w:val="18"/>
              </w:rPr>
            </w:pPr>
            <w:r w:rsidRPr="5A694872">
              <w:rPr>
                <w:rFonts w:ascii="Calibri" w:eastAsia="Calibri" w:hAnsi="Calibri" w:cs="Calibri"/>
                <w:sz w:val="18"/>
                <w:szCs w:val="18"/>
              </w:rPr>
              <w:t>Students apply strategic management, environmental analysis, financial analysis, and business decision-making concepts through CAPSIM and Comp-XM simulations. Simulation activities require students to use prior business coursework to make and evaluate strategic decisions.</w:t>
            </w:r>
          </w:p>
          <w:p w14:paraId="25CB619C" w14:textId="77777777" w:rsidR="00531B56" w:rsidRDefault="31545738" w:rsidP="5A694872">
            <w:pPr>
              <w:spacing w:before="20" w:after="0" w:line="240" w:lineRule="auto"/>
              <w:rPr>
                <w:rFonts w:ascii="Calibri" w:eastAsia="Calibri" w:hAnsi="Calibri" w:cs="Calibri"/>
                <w:b/>
                <w:bCs/>
                <w:color w:val="000000" w:themeColor="text1"/>
                <w:sz w:val="18"/>
                <w:szCs w:val="18"/>
              </w:rPr>
            </w:pPr>
            <w:r w:rsidRPr="5A694872">
              <w:rPr>
                <w:rFonts w:ascii="Calibri" w:eastAsia="Calibri" w:hAnsi="Calibri" w:cs="Calibri"/>
                <w:b/>
                <w:bCs/>
                <w:color w:val="000000" w:themeColor="text1"/>
                <w:sz w:val="18"/>
                <w:szCs w:val="18"/>
              </w:rPr>
              <w:t>Evidence: Student Learning Outcomes (p. 3); Comp-XM Project and Exam (pp. 4-5); CAPSIM Simulation Requirements (p. 5).</w:t>
            </w:r>
          </w:p>
        </w:tc>
      </w:tr>
      <w:tr w:rsidR="00531B56" w14:paraId="3B62E301" w14:textId="77777777" w:rsidTr="5A694872">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368C5609" w14:textId="77777777" w:rsidR="00531B56" w:rsidRDefault="31545738" w:rsidP="5A694872">
            <w:pPr>
              <w:spacing w:after="20"/>
              <w:rPr>
                <w:rFonts w:ascii="Calibri" w:eastAsia="Calibri" w:hAnsi="Calibri" w:cs="Calibri"/>
                <w:b/>
                <w:bCs/>
                <w:color w:val="1F3864"/>
                <w:sz w:val="18"/>
                <w:szCs w:val="18"/>
              </w:rPr>
            </w:pPr>
            <w:r w:rsidRPr="5A694872">
              <w:rPr>
                <w:rFonts w:ascii="Calibri" w:eastAsia="Calibri" w:hAnsi="Calibri" w:cs="Calibri"/>
                <w:b/>
                <w:bCs/>
                <w:color w:val="1F3864"/>
                <w:sz w:val="18"/>
                <w:szCs w:val="18"/>
              </w:rPr>
              <w:t>Authentic Decision-Making</w:t>
            </w:r>
          </w:p>
          <w:p w14:paraId="17547301" w14:textId="04431471" w:rsidR="00531B56" w:rsidRDefault="31545738" w:rsidP="5A694872">
            <w:pPr>
              <w:spacing w:after="0" w:line="240" w:lineRule="auto"/>
              <w:rPr>
                <w:rFonts w:ascii="Calibri" w:eastAsia="Calibri" w:hAnsi="Calibri" w:cs="Calibri"/>
                <w:color w:val="000000" w:themeColor="text1"/>
                <w:sz w:val="18"/>
                <w:szCs w:val="18"/>
              </w:rPr>
            </w:pPr>
            <w:r w:rsidRPr="5A694872">
              <w:rPr>
                <w:rFonts w:ascii="Calibri" w:eastAsia="Calibri" w:hAnsi="Calibri" w:cs="Calibri"/>
                <w:color w:val="000000" w:themeColor="text1"/>
                <w:sz w:val="18"/>
                <w:szCs w:val="18"/>
              </w:rPr>
              <w:t xml:space="preserve">Students engage in realistic decision-making situations that reflect challenges and contexts encountered in professional or disciplinary settings. Simulation activities require students to evaluate options, respond to uncertainty, </w:t>
            </w:r>
            <w:r w:rsidR="4AEA6898" w:rsidRPr="5A694872">
              <w:rPr>
                <w:rFonts w:ascii="Calibri" w:eastAsia="Calibri" w:hAnsi="Calibri" w:cs="Calibri"/>
                <w:color w:val="000000" w:themeColor="text1"/>
                <w:sz w:val="18"/>
                <w:szCs w:val="18"/>
              </w:rPr>
              <w:t xml:space="preserve">examine outcomes, and adapt strategies </w:t>
            </w:r>
            <w:r w:rsidRPr="5A694872">
              <w:rPr>
                <w:rFonts w:ascii="Calibri" w:eastAsia="Calibri" w:hAnsi="Calibri" w:cs="Calibri"/>
                <w:color w:val="000000" w:themeColor="text1"/>
                <w:sz w:val="18"/>
                <w:szCs w:val="18"/>
              </w:rPr>
              <w:t>and experience the consequences of decisions within a structured learning environment.</w:t>
            </w:r>
          </w:p>
        </w:tc>
        <w:tc>
          <w:tcPr>
            <w:tcW w:w="5675"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3C1C5B9B" w14:textId="77777777" w:rsidR="00531B56" w:rsidRDefault="31545738" w:rsidP="5A694872">
            <w:pPr>
              <w:spacing w:after="20" w:line="240" w:lineRule="auto"/>
              <w:rPr>
                <w:rFonts w:ascii="Calibri" w:eastAsia="Calibri" w:hAnsi="Calibri" w:cs="Calibri"/>
                <w:sz w:val="18"/>
                <w:szCs w:val="18"/>
              </w:rPr>
            </w:pPr>
            <w:r w:rsidRPr="5A694872">
              <w:rPr>
                <w:rFonts w:ascii="Calibri" w:eastAsia="Calibri" w:hAnsi="Calibri" w:cs="Calibri"/>
                <w:sz w:val="18"/>
                <w:szCs w:val="18"/>
              </w:rPr>
              <w:t>Students analyze industry conditions, make management decisions, and evaluate the results of those decisions within a competitive business simulation. Multiple simulation rounds require students to adjust strategies based on changing outcomes and conditions.</w:t>
            </w:r>
          </w:p>
          <w:p w14:paraId="127786D5" w14:textId="77777777" w:rsidR="00531B56" w:rsidRDefault="31545738" w:rsidP="5A694872">
            <w:pPr>
              <w:spacing w:before="20" w:after="0" w:line="240" w:lineRule="auto"/>
              <w:rPr>
                <w:rFonts w:ascii="Calibri" w:eastAsia="Calibri" w:hAnsi="Calibri" w:cs="Calibri"/>
                <w:b/>
                <w:bCs/>
                <w:color w:val="000000" w:themeColor="text1"/>
                <w:sz w:val="18"/>
                <w:szCs w:val="18"/>
              </w:rPr>
            </w:pPr>
            <w:r w:rsidRPr="5A694872">
              <w:rPr>
                <w:rFonts w:ascii="Calibri" w:eastAsia="Calibri" w:hAnsi="Calibri" w:cs="Calibri"/>
                <w:b/>
                <w:bCs/>
                <w:color w:val="000000" w:themeColor="text1"/>
                <w:sz w:val="18"/>
                <w:szCs w:val="18"/>
              </w:rPr>
              <w:t>Evidence: CAPSIM Simulation Requirements (p. 5); Practice and Competition Rounds (p. 5); Course Schedule Debrief Rounds (pp. 10-12).</w:t>
            </w:r>
          </w:p>
        </w:tc>
      </w:tr>
      <w:tr w:rsidR="00531B56" w14:paraId="74A7AC0E" w14:textId="77777777" w:rsidTr="5A694872">
        <w:trPr>
          <w:trHeight w:val="810"/>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24D226B5" w14:textId="510F9107" w:rsidR="00531B56" w:rsidRDefault="31545738" w:rsidP="5A694872">
            <w:pPr>
              <w:spacing w:after="20"/>
              <w:rPr>
                <w:rFonts w:ascii="Calibri" w:eastAsia="Calibri" w:hAnsi="Calibri" w:cs="Calibri"/>
                <w:color w:val="000000" w:themeColor="text1"/>
                <w:sz w:val="18"/>
                <w:szCs w:val="18"/>
              </w:rPr>
            </w:pPr>
            <w:r w:rsidRPr="5A694872">
              <w:rPr>
                <w:rFonts w:ascii="Calibri" w:eastAsia="Calibri" w:hAnsi="Calibri" w:cs="Calibri"/>
                <w:b/>
                <w:bCs/>
                <w:color w:val="1F3864"/>
                <w:sz w:val="18"/>
                <w:szCs w:val="18"/>
              </w:rPr>
              <w:t>Debrief</w:t>
            </w:r>
            <w:r w:rsidR="22176957" w:rsidRPr="5A694872">
              <w:rPr>
                <w:rFonts w:ascii="Calibri" w:eastAsia="Calibri" w:hAnsi="Calibri" w:cs="Calibri"/>
                <w:b/>
                <w:bCs/>
                <w:color w:val="1F3864"/>
                <w:sz w:val="18"/>
                <w:szCs w:val="18"/>
              </w:rPr>
              <w:t>, Reflection, &amp;</w:t>
            </w:r>
            <w:r w:rsidRPr="5A694872">
              <w:rPr>
                <w:rFonts w:ascii="Calibri" w:eastAsia="Calibri" w:hAnsi="Calibri" w:cs="Calibri"/>
                <w:b/>
                <w:bCs/>
                <w:color w:val="1F3864"/>
                <w:sz w:val="18"/>
                <w:szCs w:val="18"/>
              </w:rPr>
              <w:t xml:space="preserve"> Improvement</w:t>
            </w:r>
          </w:p>
          <w:p w14:paraId="13BBFA1C" w14:textId="7DD0C5BD" w:rsidR="00531B56" w:rsidRDefault="3B41B835" w:rsidP="5A694872">
            <w:pPr>
              <w:spacing w:after="0" w:line="240" w:lineRule="auto"/>
              <w:rPr>
                <w:rFonts w:ascii="Calibri" w:eastAsia="Calibri" w:hAnsi="Calibri" w:cs="Calibri"/>
                <w:color w:val="000000" w:themeColor="text1"/>
                <w:sz w:val="18"/>
                <w:szCs w:val="18"/>
              </w:rPr>
            </w:pPr>
            <w:r w:rsidRPr="5A694872">
              <w:rPr>
                <w:rFonts w:asciiTheme="minorHAnsi" w:eastAsiaTheme="minorEastAsia" w:hAnsiTheme="minorHAnsi"/>
                <w:color w:val="000000" w:themeColor="text1"/>
                <w:sz w:val="18"/>
                <w:szCs w:val="18"/>
              </w:rPr>
              <w:t>Students engage in structured debriefing and reflection activities that examine decisions, actions, outcomes, and lessons learned from simulation experiences. Students receive feedback and use that feedback to improve performance, refine judgment, and strengthen application of learning throughout the simulation experience.</w:t>
            </w:r>
          </w:p>
        </w:tc>
        <w:tc>
          <w:tcPr>
            <w:tcW w:w="5675"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7F447E64" w14:textId="65522DCA" w:rsidR="0FE2F935" w:rsidRDefault="0FE2F935" w:rsidP="5A694872">
            <w:pPr>
              <w:spacing w:after="0" w:line="240" w:lineRule="auto"/>
              <w:rPr>
                <w:rFonts w:asciiTheme="minorHAnsi" w:eastAsiaTheme="minorEastAsia" w:hAnsiTheme="minorHAnsi"/>
                <w:color w:val="000000" w:themeColor="text1"/>
                <w:sz w:val="18"/>
                <w:szCs w:val="18"/>
              </w:rPr>
            </w:pPr>
            <w:r w:rsidRPr="5A694872">
              <w:rPr>
                <w:rFonts w:asciiTheme="minorHAnsi" w:eastAsiaTheme="minorEastAsia" w:hAnsiTheme="minorHAnsi"/>
                <w:color w:val="000000" w:themeColor="text1"/>
                <w:sz w:val="18"/>
                <w:szCs w:val="18"/>
              </w:rPr>
              <w:t>Students participate in scheduled debrief sessions following simulation rounds. Debrief activities require students to analyze decisions, evaluate outcomes, discuss performance, and identify strategies for improvement. Feedback from simulation results, peers, and instructors is used to inform subsequent decisions and strengthen learning throughout the simulation experience.</w:t>
            </w:r>
          </w:p>
          <w:p w14:paraId="5BC2D35C" w14:textId="77777777" w:rsidR="00531B56" w:rsidRDefault="31545738" w:rsidP="5A694872">
            <w:pPr>
              <w:spacing w:before="20" w:after="0" w:line="240" w:lineRule="auto"/>
              <w:rPr>
                <w:rFonts w:ascii="Calibri" w:eastAsia="Calibri" w:hAnsi="Calibri" w:cs="Calibri"/>
                <w:b/>
                <w:bCs/>
                <w:color w:val="000000" w:themeColor="text1"/>
                <w:sz w:val="18"/>
                <w:szCs w:val="18"/>
              </w:rPr>
            </w:pPr>
            <w:r w:rsidRPr="5A694872">
              <w:rPr>
                <w:rFonts w:ascii="Calibri" w:eastAsia="Calibri" w:hAnsi="Calibri" w:cs="Calibri"/>
                <w:b/>
                <w:bCs/>
                <w:color w:val="000000" w:themeColor="text1"/>
                <w:sz w:val="18"/>
                <w:szCs w:val="18"/>
              </w:rPr>
              <w:t>Evidence: CAPSIM Practice and Decision Rounds (p. 5); Debrief Rounds (pp. 10-12); Results of Round 8 (p. 13).</w:t>
            </w:r>
          </w:p>
        </w:tc>
      </w:tr>
      <w:tr w:rsidR="00531B56" w14:paraId="03865610" w14:textId="77777777" w:rsidTr="5A694872">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2" w:type="dxa"/>
              <w:left w:w="60" w:type="dxa"/>
              <w:bottom w:w="32" w:type="dxa"/>
              <w:right w:w="60" w:type="dxa"/>
            </w:tcMar>
          </w:tcPr>
          <w:p w14:paraId="082D915F" w14:textId="77777777" w:rsidR="00531B56" w:rsidRDefault="31545738" w:rsidP="5A694872">
            <w:pPr>
              <w:spacing w:after="20"/>
              <w:rPr>
                <w:rFonts w:ascii="Calibri" w:eastAsia="Calibri" w:hAnsi="Calibri" w:cs="Calibri"/>
                <w:b/>
                <w:bCs/>
                <w:color w:val="1F3864"/>
                <w:sz w:val="18"/>
                <w:szCs w:val="18"/>
              </w:rPr>
            </w:pPr>
            <w:r w:rsidRPr="5A694872">
              <w:rPr>
                <w:rFonts w:ascii="Calibri" w:eastAsia="Calibri" w:hAnsi="Calibri" w:cs="Calibri"/>
                <w:b/>
                <w:bCs/>
                <w:color w:val="1F3864"/>
                <w:sz w:val="18"/>
                <w:szCs w:val="18"/>
              </w:rPr>
              <w:t>Demonstration of Learning</w:t>
            </w:r>
          </w:p>
          <w:p w14:paraId="61C5BABA" w14:textId="270B47BD" w:rsidR="00531B56" w:rsidRDefault="31545738" w:rsidP="5A694872">
            <w:pPr>
              <w:spacing w:after="0" w:line="240" w:lineRule="auto"/>
              <w:rPr>
                <w:rFonts w:ascii="Calibri" w:eastAsia="Calibri" w:hAnsi="Calibri" w:cs="Calibri"/>
                <w:color w:val="000000" w:themeColor="text1"/>
                <w:sz w:val="18"/>
                <w:szCs w:val="18"/>
              </w:rPr>
            </w:pPr>
            <w:r w:rsidRPr="5A694872">
              <w:rPr>
                <w:rFonts w:ascii="Calibri" w:eastAsia="Calibri" w:hAnsi="Calibri" w:cs="Calibri"/>
                <w:color w:val="000000" w:themeColor="text1"/>
                <w:sz w:val="18"/>
                <w:szCs w:val="18"/>
              </w:rPr>
              <w:t xml:space="preserve">Students communicate and demonstrate learning through </w:t>
            </w:r>
            <w:bookmarkStart w:id="1" w:name="_Int_GpRn8aZy"/>
            <w:r w:rsidRPr="5A694872">
              <w:rPr>
                <w:rFonts w:ascii="Calibri" w:eastAsia="Calibri" w:hAnsi="Calibri" w:cs="Calibri"/>
                <w:color w:val="000000" w:themeColor="text1"/>
                <w:sz w:val="18"/>
                <w:szCs w:val="18"/>
              </w:rPr>
              <w:t>simulation</w:t>
            </w:r>
            <w:bookmarkEnd w:id="1"/>
            <w:r w:rsidRPr="5A694872">
              <w:rPr>
                <w:rFonts w:ascii="Calibri" w:eastAsia="Calibri" w:hAnsi="Calibri" w:cs="Calibri"/>
                <w:color w:val="000000" w:themeColor="text1"/>
                <w:sz w:val="18"/>
                <w:szCs w:val="18"/>
              </w:rPr>
              <w:t xml:space="preserve"> performance, projects, presentations, reports, reflective products, or other authentic demonstrations of achievement. These activities provide opportunities for students to </w:t>
            </w:r>
            <w:proofErr w:type="gramStart"/>
            <w:r w:rsidRPr="5A694872">
              <w:rPr>
                <w:rFonts w:ascii="Calibri" w:eastAsia="Calibri" w:hAnsi="Calibri" w:cs="Calibri"/>
                <w:color w:val="000000" w:themeColor="text1"/>
                <w:sz w:val="18"/>
                <w:szCs w:val="18"/>
              </w:rPr>
              <w:t>show</w:t>
            </w:r>
            <w:proofErr w:type="gramEnd"/>
            <w:r w:rsidRPr="5A694872">
              <w:rPr>
                <w:rFonts w:ascii="Calibri" w:eastAsia="Calibri" w:hAnsi="Calibri" w:cs="Calibri"/>
                <w:color w:val="000000" w:themeColor="text1"/>
                <w:sz w:val="18"/>
                <w:szCs w:val="18"/>
              </w:rPr>
              <w:t xml:space="preserve"> </w:t>
            </w:r>
            <w:r w:rsidR="2EE3534E" w:rsidRPr="5A694872">
              <w:rPr>
                <w:rFonts w:ascii="Calibri" w:eastAsia="Calibri" w:hAnsi="Calibri" w:cs="Calibri"/>
                <w:color w:val="000000" w:themeColor="text1"/>
                <w:sz w:val="18"/>
                <w:szCs w:val="18"/>
              </w:rPr>
              <w:t xml:space="preserve">to explain decisions, evaluate outcomes, communicate lessons learned, and </w:t>
            </w:r>
            <w:r w:rsidR="44BFB31E" w:rsidRPr="5A694872">
              <w:rPr>
                <w:rFonts w:ascii="Calibri" w:eastAsia="Calibri" w:hAnsi="Calibri" w:cs="Calibri"/>
                <w:color w:val="000000" w:themeColor="text1"/>
                <w:sz w:val="18"/>
                <w:szCs w:val="18"/>
              </w:rPr>
              <w:t xml:space="preserve">demonstrate </w:t>
            </w:r>
            <w:r w:rsidRPr="5A694872">
              <w:rPr>
                <w:rFonts w:ascii="Calibri" w:eastAsia="Calibri" w:hAnsi="Calibri" w:cs="Calibri"/>
                <w:color w:val="000000" w:themeColor="text1"/>
                <w:sz w:val="18"/>
                <w:szCs w:val="18"/>
              </w:rPr>
              <w:t xml:space="preserve">application of </w:t>
            </w:r>
            <w:r w:rsidR="53F1E305" w:rsidRPr="5A694872">
              <w:rPr>
                <w:rFonts w:ascii="Calibri" w:eastAsia="Calibri" w:hAnsi="Calibri" w:cs="Calibri"/>
                <w:color w:val="000000" w:themeColor="text1"/>
                <w:sz w:val="18"/>
                <w:szCs w:val="18"/>
              </w:rPr>
              <w:t>learning beyond the simulation environment.</w:t>
            </w:r>
          </w:p>
        </w:tc>
        <w:tc>
          <w:tcPr>
            <w:tcW w:w="567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2" w:type="dxa"/>
              <w:left w:w="60" w:type="dxa"/>
              <w:bottom w:w="32" w:type="dxa"/>
              <w:right w:w="60" w:type="dxa"/>
            </w:tcMar>
          </w:tcPr>
          <w:p w14:paraId="3249A180" w14:textId="4A732A9B" w:rsidR="3F65334B" w:rsidRDefault="3F65334B" w:rsidP="5A694872">
            <w:pPr>
              <w:spacing w:after="20" w:line="240" w:lineRule="auto"/>
              <w:rPr>
                <w:rFonts w:ascii="Calibri" w:eastAsia="Calibri" w:hAnsi="Calibri" w:cs="Calibri"/>
                <w:sz w:val="18"/>
                <w:szCs w:val="18"/>
              </w:rPr>
            </w:pPr>
            <w:r w:rsidRPr="5A694872">
              <w:rPr>
                <w:rFonts w:ascii="Calibri" w:eastAsia="Calibri" w:hAnsi="Calibri" w:cs="Calibri"/>
                <w:sz w:val="18"/>
                <w:szCs w:val="18"/>
              </w:rPr>
              <w:t>Students complete strategic reports, industry analysis assignments, and a formal executive presentation as part of the simulation experience. These assignments require students to report simulation results, explain strategic choices, and communicate outcomes.</w:t>
            </w:r>
          </w:p>
          <w:p w14:paraId="55450D38" w14:textId="77777777" w:rsidR="00531B56" w:rsidRDefault="31545738" w:rsidP="5A694872">
            <w:pPr>
              <w:spacing w:after="20" w:line="240" w:lineRule="auto"/>
              <w:rPr>
                <w:rFonts w:ascii="Calibri" w:eastAsia="Calibri" w:hAnsi="Calibri" w:cs="Calibri"/>
                <w:sz w:val="18"/>
                <w:szCs w:val="18"/>
              </w:rPr>
            </w:pPr>
            <w:r w:rsidRPr="5A694872">
              <w:rPr>
                <w:rFonts w:ascii="Calibri" w:eastAsia="Calibri" w:hAnsi="Calibri" w:cs="Calibri"/>
                <w:b/>
                <w:bCs/>
                <w:color w:val="000000" w:themeColor="text1"/>
                <w:sz w:val="18"/>
                <w:szCs w:val="18"/>
              </w:rPr>
              <w:t xml:space="preserve">Evidence: </w:t>
            </w:r>
            <w:r w:rsidRPr="5A694872">
              <w:rPr>
                <w:rFonts w:ascii="Calibri" w:eastAsia="Calibri" w:hAnsi="Calibri" w:cs="Calibri"/>
                <w:sz w:val="18"/>
                <w:szCs w:val="18"/>
              </w:rPr>
              <w:t>Grading</w:t>
            </w:r>
            <w:r w:rsidRPr="5A694872">
              <w:rPr>
                <w:rFonts w:ascii="Calibri" w:eastAsia="Calibri" w:hAnsi="Calibri" w:cs="Calibri"/>
                <w:b/>
                <w:bCs/>
                <w:color w:val="000000" w:themeColor="text1"/>
                <w:sz w:val="18"/>
                <w:szCs w:val="18"/>
              </w:rPr>
              <w:t xml:space="preserve"> Components (p. 3); CAPSIM Project Components (p. 5); CAPSIM Presentation Requirements (p. 5); Final Presentations (p. 13).</w:t>
            </w:r>
          </w:p>
        </w:tc>
      </w:tr>
      <w:tr w:rsidR="00531B56" w14:paraId="4B931A88" w14:textId="77777777" w:rsidTr="5A694872">
        <w:trPr>
          <w:jc w:val="center"/>
        </w:trPr>
        <w:tc>
          <w:tcPr>
            <w:tcW w:w="5010"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00BBC4F6" w14:textId="77777777" w:rsidR="00531B56" w:rsidRDefault="31545738" w:rsidP="5A694872">
            <w:pPr>
              <w:spacing w:after="20"/>
              <w:rPr>
                <w:rFonts w:ascii="Calibri" w:eastAsia="Calibri" w:hAnsi="Calibri" w:cs="Calibri"/>
                <w:b/>
                <w:bCs/>
                <w:color w:val="1F3864"/>
                <w:sz w:val="18"/>
                <w:szCs w:val="18"/>
              </w:rPr>
            </w:pPr>
            <w:r w:rsidRPr="5A694872">
              <w:rPr>
                <w:rFonts w:ascii="Calibri" w:eastAsia="Calibri" w:hAnsi="Calibri" w:cs="Calibri"/>
                <w:b/>
                <w:bCs/>
                <w:color w:val="1F3864"/>
                <w:sz w:val="18"/>
                <w:szCs w:val="18"/>
              </w:rPr>
              <w:t>Simulation Partner Engagement (Optional Designation)</w:t>
            </w:r>
          </w:p>
          <w:p w14:paraId="4E27B1A5" w14:textId="77777777" w:rsidR="00531B56" w:rsidRDefault="31545738" w:rsidP="5A694872">
            <w:pPr>
              <w:spacing w:after="0" w:line="240" w:lineRule="auto"/>
              <w:rPr>
                <w:rFonts w:ascii="Calibri" w:eastAsia="Calibri" w:hAnsi="Calibri" w:cs="Calibri"/>
                <w:color w:val="000000" w:themeColor="text1"/>
                <w:sz w:val="18"/>
                <w:szCs w:val="18"/>
              </w:rPr>
            </w:pPr>
            <w:r w:rsidRPr="5A694872">
              <w:rPr>
                <w:rFonts w:ascii="Calibri" w:eastAsia="Calibri" w:hAnsi="Calibri" w:cs="Calibri"/>
                <w:color w:val="000000" w:themeColor="text1"/>
                <w:sz w:val="18"/>
                <w:szCs w:val="18"/>
              </w:rPr>
              <w:t xml:space="preserve">Students engage with employers, industry professionals, community organizations, alumni, or other external stakeholders through simulation activities connected to course outcomes. External engagement provides opportunities for students to receive authentic feedback, experience current professional practices, and strengthen connections between academic learning and real-world </w:t>
            </w:r>
            <w:bookmarkStart w:id="2" w:name="_Int_XFWNTjVC"/>
            <w:r w:rsidRPr="5A694872">
              <w:rPr>
                <w:rFonts w:ascii="Calibri" w:eastAsia="Calibri" w:hAnsi="Calibri" w:cs="Calibri"/>
                <w:color w:val="000000" w:themeColor="text1"/>
                <w:sz w:val="18"/>
                <w:szCs w:val="18"/>
              </w:rPr>
              <w:t>application</w:t>
            </w:r>
            <w:bookmarkEnd w:id="2"/>
            <w:r w:rsidRPr="5A694872">
              <w:rPr>
                <w:rFonts w:ascii="Calibri" w:eastAsia="Calibri" w:hAnsi="Calibri" w:cs="Calibri"/>
                <w:color w:val="000000" w:themeColor="text1"/>
                <w:sz w:val="18"/>
                <w:szCs w:val="18"/>
              </w:rPr>
              <w:t>.</w:t>
            </w:r>
          </w:p>
        </w:tc>
        <w:tc>
          <w:tcPr>
            <w:tcW w:w="5675" w:type="dxa"/>
            <w:tcBorders>
              <w:top w:val="single" w:sz="4" w:space="0" w:color="D9E2F3"/>
              <w:left w:val="single" w:sz="4" w:space="0" w:color="D9E2F3"/>
              <w:bottom w:val="single" w:sz="4" w:space="0" w:color="D9E2F3"/>
              <w:right w:val="single" w:sz="4" w:space="0" w:color="D9E2F3"/>
            </w:tcBorders>
            <w:shd w:val="clear" w:color="auto" w:fill="F8FBFE"/>
            <w:tcMar>
              <w:top w:w="32" w:type="dxa"/>
              <w:left w:w="60" w:type="dxa"/>
              <w:bottom w:w="32" w:type="dxa"/>
              <w:right w:w="60" w:type="dxa"/>
            </w:tcMar>
          </w:tcPr>
          <w:p w14:paraId="3BBC08B6" w14:textId="77777777" w:rsidR="00531B56" w:rsidRDefault="31545738" w:rsidP="5A694872">
            <w:pPr>
              <w:spacing w:after="20" w:line="240" w:lineRule="auto"/>
              <w:rPr>
                <w:rFonts w:ascii="Calibri" w:eastAsia="Calibri" w:hAnsi="Calibri" w:cs="Calibri"/>
                <w:sz w:val="18"/>
                <w:szCs w:val="18"/>
              </w:rPr>
            </w:pPr>
            <w:r w:rsidRPr="5A694872">
              <w:rPr>
                <w:rFonts w:ascii="Calibri" w:eastAsia="Calibri" w:hAnsi="Calibri" w:cs="Calibri"/>
                <w:sz w:val="18"/>
                <w:szCs w:val="18"/>
              </w:rPr>
              <w:t>Not applicable. The syllabus does not document employer, industry, community, alumni, or external partner involvement in simulation design, feedback, or evaluation.</w:t>
            </w:r>
          </w:p>
          <w:p w14:paraId="03E833CC" w14:textId="77777777" w:rsidR="00531B56" w:rsidRDefault="31545738" w:rsidP="5A694872">
            <w:pPr>
              <w:spacing w:before="20" w:after="0" w:line="240" w:lineRule="auto"/>
              <w:rPr>
                <w:rFonts w:ascii="Calibri" w:eastAsia="Calibri" w:hAnsi="Calibri" w:cs="Calibri"/>
                <w:b/>
                <w:bCs/>
                <w:color w:val="000000" w:themeColor="text1"/>
                <w:sz w:val="18"/>
                <w:szCs w:val="18"/>
              </w:rPr>
            </w:pPr>
            <w:r w:rsidRPr="5A694872">
              <w:rPr>
                <w:rFonts w:ascii="Calibri" w:eastAsia="Calibri" w:hAnsi="Calibri" w:cs="Calibri"/>
                <w:b/>
                <w:bCs/>
                <w:color w:val="000000" w:themeColor="text1"/>
                <w:sz w:val="18"/>
                <w:szCs w:val="18"/>
              </w:rPr>
              <w:t xml:space="preserve">Evidence: No external simulation partner engagement documented in </w:t>
            </w:r>
            <w:bookmarkStart w:id="3" w:name="_Int_euunZwgq"/>
            <w:r w:rsidRPr="5A694872">
              <w:rPr>
                <w:rFonts w:ascii="Calibri" w:eastAsia="Calibri" w:hAnsi="Calibri" w:cs="Calibri"/>
                <w:b/>
                <w:bCs/>
                <w:color w:val="000000" w:themeColor="text1"/>
                <w:sz w:val="18"/>
                <w:szCs w:val="18"/>
              </w:rPr>
              <w:t>syllabus</w:t>
            </w:r>
            <w:bookmarkEnd w:id="3"/>
            <w:r w:rsidRPr="5A694872">
              <w:rPr>
                <w:rFonts w:ascii="Calibri" w:eastAsia="Calibri" w:hAnsi="Calibri" w:cs="Calibri"/>
                <w:b/>
                <w:bCs/>
                <w:color w:val="000000" w:themeColor="text1"/>
                <w:sz w:val="18"/>
                <w:szCs w:val="18"/>
              </w:rPr>
              <w:t>.</w:t>
            </w:r>
          </w:p>
        </w:tc>
      </w:tr>
    </w:tbl>
    <w:p w14:paraId="509A5F92" w14:textId="27CC2752" w:rsidR="5A694872" w:rsidRDefault="5A694872" w:rsidP="5A694872"/>
    <w:sectPr w:rsidR="5A694872" w:rsidSect="00034616">
      <w:footerReference w:type="default" r:id="rId11"/>
      <w:pgSz w:w="12240" w:h="15840"/>
      <w:pgMar w:top="490" w:right="619" w:bottom="490" w:left="6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AA921" w14:textId="77777777" w:rsidR="00A80CC5" w:rsidRDefault="00A80CC5">
      <w:pPr>
        <w:spacing w:after="0" w:line="240" w:lineRule="auto"/>
      </w:pPr>
      <w:r>
        <w:separator/>
      </w:r>
    </w:p>
  </w:endnote>
  <w:endnote w:type="continuationSeparator" w:id="0">
    <w:p w14:paraId="232A0A00" w14:textId="77777777" w:rsidR="00A80CC5" w:rsidRDefault="00A80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23F4" w14:textId="3A4D8EBB" w:rsidR="00531B56" w:rsidRDefault="00A80CC5">
    <w:pPr>
      <w:pStyle w:val="Footer"/>
      <w:jc w:val="center"/>
    </w:pPr>
    <w:r>
      <w:rPr>
        <w:i/>
        <w:color w:val="595959"/>
      </w:rPr>
      <w:t xml:space="preserve">Simulation — Course Planning Guide Sample | Page </w:t>
    </w:r>
    <w:r>
      <w:rPr>
        <w:i/>
        <w:color w:val="595959"/>
      </w:rPr>
      <w:fldChar w:fldCharType="begin"/>
    </w:r>
    <w:r>
      <w:rPr>
        <w:i/>
        <w:color w:val="595959"/>
      </w:rPr>
      <w:instrText>PAGE</w:instrText>
    </w:r>
    <w:r w:rsidR="00B660C1">
      <w:rPr>
        <w:i/>
        <w:color w:val="595959"/>
      </w:rPr>
      <w:fldChar w:fldCharType="separate"/>
    </w:r>
    <w:r w:rsidR="00B660C1">
      <w:rPr>
        <w:i/>
        <w:noProof/>
        <w:color w:val="595959"/>
      </w:rPr>
      <w:t>1</w:t>
    </w:r>
    <w:r>
      <w:rPr>
        <w:i/>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A0DF" w14:textId="77777777" w:rsidR="00A80CC5" w:rsidRDefault="00A80CC5">
      <w:pPr>
        <w:spacing w:after="0" w:line="240" w:lineRule="auto"/>
      </w:pPr>
      <w:r>
        <w:separator/>
      </w:r>
    </w:p>
  </w:footnote>
  <w:footnote w:type="continuationSeparator" w:id="0">
    <w:p w14:paraId="7CCE365E" w14:textId="77777777" w:rsidR="00A80CC5" w:rsidRDefault="00A80CC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Ox5R2AVHI3819" int2:id="F6PB324M">
      <int2:state int2:value="Rejected" int2:type="spell"/>
    </int2:textHash>
    <int2:bookmark int2:bookmarkName="_Int_geJonK46" int2:invalidationBookmarkName="" int2:hashCode="BEiaEruqauv/th" int2:id="xBuJSgGH">
      <int2:state int2:value="Rejected" int2:type="gram"/>
    </int2:bookmark>
    <int2:bookmark int2:bookmarkName="_Int_GpRn8aZy" int2:invalidationBookmarkName="" int2:hashCode="gcDo6YbPH0lfSV" int2:id="c2nq9KXf">
      <int2:state int2:value="Rejected" int2:type="gram"/>
    </int2:bookmark>
    <int2:bookmark int2:bookmarkName="_Int_XFWNTjVC" int2:invalidationBookmarkName="" int2:hashCode="0gBcwgbMv97fK+" int2:id="4fBettLk">
      <int2:state int2:value="Rejected" int2:type="gram"/>
    </int2:bookmark>
    <int2:bookmark int2:bookmarkName="_Int_euunZwgq" int2:invalidationBookmarkName="" int2:hashCode="AK5R9yJB6F4yh9" int2:id="hu73u8Q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955F6"/>
    <w:multiLevelType w:val="hybridMultilevel"/>
    <w:tmpl w:val="1E7E316A"/>
    <w:lvl w:ilvl="0" w:tplc="125EF052">
      <w:start w:val="1"/>
      <w:numFmt w:val="bullet"/>
      <w:lvlText w:val=""/>
      <w:lvlJc w:val="left"/>
      <w:pPr>
        <w:ind w:left="720" w:hanging="360"/>
      </w:pPr>
      <w:rPr>
        <w:rFonts w:ascii="Symbol" w:hAnsi="Symbol" w:hint="default"/>
      </w:rPr>
    </w:lvl>
    <w:lvl w:ilvl="1" w:tplc="0062E80E">
      <w:start w:val="1"/>
      <w:numFmt w:val="bullet"/>
      <w:lvlText w:val="o"/>
      <w:lvlJc w:val="left"/>
      <w:pPr>
        <w:ind w:left="1440" w:hanging="360"/>
      </w:pPr>
      <w:rPr>
        <w:rFonts w:ascii="Courier New" w:hAnsi="Courier New" w:hint="default"/>
      </w:rPr>
    </w:lvl>
    <w:lvl w:ilvl="2" w:tplc="1444E638">
      <w:start w:val="1"/>
      <w:numFmt w:val="bullet"/>
      <w:lvlText w:val=""/>
      <w:lvlJc w:val="left"/>
      <w:pPr>
        <w:ind w:left="2160" w:hanging="360"/>
      </w:pPr>
      <w:rPr>
        <w:rFonts w:ascii="Wingdings" w:hAnsi="Wingdings" w:hint="default"/>
      </w:rPr>
    </w:lvl>
    <w:lvl w:ilvl="3" w:tplc="8A0EE228">
      <w:start w:val="1"/>
      <w:numFmt w:val="bullet"/>
      <w:lvlText w:val=""/>
      <w:lvlJc w:val="left"/>
      <w:pPr>
        <w:ind w:left="2880" w:hanging="360"/>
      </w:pPr>
      <w:rPr>
        <w:rFonts w:ascii="Symbol" w:hAnsi="Symbol" w:hint="default"/>
      </w:rPr>
    </w:lvl>
    <w:lvl w:ilvl="4" w:tplc="B70A99FA">
      <w:start w:val="1"/>
      <w:numFmt w:val="bullet"/>
      <w:lvlText w:val="o"/>
      <w:lvlJc w:val="left"/>
      <w:pPr>
        <w:ind w:left="3600" w:hanging="360"/>
      </w:pPr>
      <w:rPr>
        <w:rFonts w:ascii="Courier New" w:hAnsi="Courier New" w:hint="default"/>
      </w:rPr>
    </w:lvl>
    <w:lvl w:ilvl="5" w:tplc="7548D3B0">
      <w:start w:val="1"/>
      <w:numFmt w:val="bullet"/>
      <w:lvlText w:val=""/>
      <w:lvlJc w:val="left"/>
      <w:pPr>
        <w:ind w:left="4320" w:hanging="360"/>
      </w:pPr>
      <w:rPr>
        <w:rFonts w:ascii="Wingdings" w:hAnsi="Wingdings" w:hint="default"/>
      </w:rPr>
    </w:lvl>
    <w:lvl w:ilvl="6" w:tplc="985A2AA2">
      <w:start w:val="1"/>
      <w:numFmt w:val="bullet"/>
      <w:lvlText w:val=""/>
      <w:lvlJc w:val="left"/>
      <w:pPr>
        <w:ind w:left="5040" w:hanging="360"/>
      </w:pPr>
      <w:rPr>
        <w:rFonts w:ascii="Symbol" w:hAnsi="Symbol" w:hint="default"/>
      </w:rPr>
    </w:lvl>
    <w:lvl w:ilvl="7" w:tplc="EE666374">
      <w:start w:val="1"/>
      <w:numFmt w:val="bullet"/>
      <w:lvlText w:val="o"/>
      <w:lvlJc w:val="left"/>
      <w:pPr>
        <w:ind w:left="5760" w:hanging="360"/>
      </w:pPr>
      <w:rPr>
        <w:rFonts w:ascii="Courier New" w:hAnsi="Courier New" w:hint="default"/>
      </w:rPr>
    </w:lvl>
    <w:lvl w:ilvl="8" w:tplc="CB9E0E22">
      <w:start w:val="1"/>
      <w:numFmt w:val="bullet"/>
      <w:lvlText w:val=""/>
      <w:lvlJc w:val="left"/>
      <w:pPr>
        <w:ind w:left="6480" w:hanging="360"/>
      </w:pPr>
      <w:rPr>
        <w:rFonts w:ascii="Wingdings" w:hAnsi="Wingdings" w:hint="default"/>
      </w:rPr>
    </w:lvl>
  </w:abstractNum>
  <w:abstractNum w:abstractNumId="10" w15:restartNumberingAfterBreak="0">
    <w:nsid w:val="0ACB71F2"/>
    <w:multiLevelType w:val="hybridMultilevel"/>
    <w:tmpl w:val="5B9E2984"/>
    <w:lvl w:ilvl="0" w:tplc="1D0E1952">
      <w:start w:val="1"/>
      <w:numFmt w:val="bullet"/>
      <w:lvlText w:val=""/>
      <w:lvlJc w:val="left"/>
      <w:pPr>
        <w:ind w:left="720" w:hanging="360"/>
      </w:pPr>
      <w:rPr>
        <w:rFonts w:ascii="Symbol" w:hAnsi="Symbol" w:hint="default"/>
      </w:rPr>
    </w:lvl>
    <w:lvl w:ilvl="1" w:tplc="E0547C9E">
      <w:start w:val="1"/>
      <w:numFmt w:val="bullet"/>
      <w:lvlText w:val="o"/>
      <w:lvlJc w:val="left"/>
      <w:pPr>
        <w:ind w:left="1440" w:hanging="360"/>
      </w:pPr>
      <w:rPr>
        <w:rFonts w:ascii="Courier New" w:hAnsi="Courier New" w:hint="default"/>
      </w:rPr>
    </w:lvl>
    <w:lvl w:ilvl="2" w:tplc="3A7CEF1E">
      <w:start w:val="1"/>
      <w:numFmt w:val="bullet"/>
      <w:lvlText w:val=""/>
      <w:lvlJc w:val="left"/>
      <w:pPr>
        <w:ind w:left="2160" w:hanging="360"/>
      </w:pPr>
      <w:rPr>
        <w:rFonts w:ascii="Wingdings" w:hAnsi="Wingdings" w:hint="default"/>
      </w:rPr>
    </w:lvl>
    <w:lvl w:ilvl="3" w:tplc="DCCE7724">
      <w:start w:val="1"/>
      <w:numFmt w:val="bullet"/>
      <w:lvlText w:val=""/>
      <w:lvlJc w:val="left"/>
      <w:pPr>
        <w:ind w:left="2880" w:hanging="360"/>
      </w:pPr>
      <w:rPr>
        <w:rFonts w:ascii="Symbol" w:hAnsi="Symbol" w:hint="default"/>
      </w:rPr>
    </w:lvl>
    <w:lvl w:ilvl="4" w:tplc="24CE652E">
      <w:start w:val="1"/>
      <w:numFmt w:val="bullet"/>
      <w:lvlText w:val="o"/>
      <w:lvlJc w:val="left"/>
      <w:pPr>
        <w:ind w:left="3600" w:hanging="360"/>
      </w:pPr>
      <w:rPr>
        <w:rFonts w:ascii="Courier New" w:hAnsi="Courier New" w:hint="default"/>
      </w:rPr>
    </w:lvl>
    <w:lvl w:ilvl="5" w:tplc="F920023E">
      <w:start w:val="1"/>
      <w:numFmt w:val="bullet"/>
      <w:lvlText w:val=""/>
      <w:lvlJc w:val="left"/>
      <w:pPr>
        <w:ind w:left="4320" w:hanging="360"/>
      </w:pPr>
      <w:rPr>
        <w:rFonts w:ascii="Wingdings" w:hAnsi="Wingdings" w:hint="default"/>
      </w:rPr>
    </w:lvl>
    <w:lvl w:ilvl="6" w:tplc="4A168F88">
      <w:start w:val="1"/>
      <w:numFmt w:val="bullet"/>
      <w:lvlText w:val=""/>
      <w:lvlJc w:val="left"/>
      <w:pPr>
        <w:ind w:left="5040" w:hanging="360"/>
      </w:pPr>
      <w:rPr>
        <w:rFonts w:ascii="Symbol" w:hAnsi="Symbol" w:hint="default"/>
      </w:rPr>
    </w:lvl>
    <w:lvl w:ilvl="7" w:tplc="CEDA143A">
      <w:start w:val="1"/>
      <w:numFmt w:val="bullet"/>
      <w:lvlText w:val="o"/>
      <w:lvlJc w:val="left"/>
      <w:pPr>
        <w:ind w:left="5760" w:hanging="360"/>
      </w:pPr>
      <w:rPr>
        <w:rFonts w:ascii="Courier New" w:hAnsi="Courier New" w:hint="default"/>
      </w:rPr>
    </w:lvl>
    <w:lvl w:ilvl="8" w:tplc="578287DE">
      <w:start w:val="1"/>
      <w:numFmt w:val="bullet"/>
      <w:lvlText w:val=""/>
      <w:lvlJc w:val="left"/>
      <w:pPr>
        <w:ind w:left="6480" w:hanging="360"/>
      </w:pPr>
      <w:rPr>
        <w:rFonts w:ascii="Wingdings" w:hAnsi="Wingdings" w:hint="default"/>
      </w:rPr>
    </w:lvl>
  </w:abstractNum>
  <w:abstractNum w:abstractNumId="11" w15:restartNumberingAfterBreak="0">
    <w:nsid w:val="409ABA26"/>
    <w:multiLevelType w:val="hybridMultilevel"/>
    <w:tmpl w:val="A37A1958"/>
    <w:lvl w:ilvl="0" w:tplc="9B90682E">
      <w:start w:val="1"/>
      <w:numFmt w:val="decimal"/>
      <w:lvlText w:val="%1."/>
      <w:lvlJc w:val="left"/>
      <w:pPr>
        <w:ind w:left="720" w:hanging="360"/>
      </w:pPr>
    </w:lvl>
    <w:lvl w:ilvl="1" w:tplc="3D10E92E">
      <w:start w:val="1"/>
      <w:numFmt w:val="lowerLetter"/>
      <w:lvlText w:val="%2."/>
      <w:lvlJc w:val="left"/>
      <w:pPr>
        <w:ind w:left="1440" w:hanging="360"/>
      </w:pPr>
    </w:lvl>
    <w:lvl w:ilvl="2" w:tplc="3A7C22CE">
      <w:start w:val="1"/>
      <w:numFmt w:val="lowerRoman"/>
      <w:lvlText w:val="%3."/>
      <w:lvlJc w:val="left"/>
      <w:pPr>
        <w:ind w:left="2160" w:hanging="360"/>
      </w:pPr>
    </w:lvl>
    <w:lvl w:ilvl="3" w:tplc="A5FE8F9A">
      <w:start w:val="1"/>
      <w:numFmt w:val="decimal"/>
      <w:lvlText w:val="%4."/>
      <w:lvlJc w:val="left"/>
      <w:pPr>
        <w:ind w:left="2880" w:hanging="360"/>
      </w:pPr>
    </w:lvl>
    <w:lvl w:ilvl="4" w:tplc="832CA7D8">
      <w:start w:val="1"/>
      <w:numFmt w:val="lowerLetter"/>
      <w:lvlText w:val="%5."/>
      <w:lvlJc w:val="left"/>
      <w:pPr>
        <w:ind w:left="3600" w:hanging="360"/>
      </w:pPr>
    </w:lvl>
    <w:lvl w:ilvl="5" w:tplc="756E8168">
      <w:start w:val="1"/>
      <w:numFmt w:val="lowerRoman"/>
      <w:lvlText w:val="%6."/>
      <w:lvlJc w:val="left"/>
      <w:pPr>
        <w:ind w:left="4320" w:hanging="360"/>
      </w:pPr>
    </w:lvl>
    <w:lvl w:ilvl="6" w:tplc="DFA2D458">
      <w:start w:val="1"/>
      <w:numFmt w:val="decimal"/>
      <w:lvlText w:val="%7."/>
      <w:lvlJc w:val="left"/>
      <w:pPr>
        <w:ind w:left="5040" w:hanging="360"/>
      </w:pPr>
    </w:lvl>
    <w:lvl w:ilvl="7" w:tplc="E210261A">
      <w:start w:val="1"/>
      <w:numFmt w:val="lowerLetter"/>
      <w:lvlText w:val="%8."/>
      <w:lvlJc w:val="left"/>
      <w:pPr>
        <w:ind w:left="5760" w:hanging="360"/>
      </w:pPr>
    </w:lvl>
    <w:lvl w:ilvl="8" w:tplc="2528E726">
      <w:start w:val="1"/>
      <w:numFmt w:val="lowerRoman"/>
      <w:lvlText w:val="%9."/>
      <w:lvlJc w:val="left"/>
      <w:pPr>
        <w:ind w:left="6480" w:hanging="360"/>
      </w:pPr>
    </w:lvl>
  </w:abstractNum>
  <w:num w:numId="1" w16cid:durableId="1581064944">
    <w:abstractNumId w:val="11"/>
  </w:num>
  <w:num w:numId="2" w16cid:durableId="221256352">
    <w:abstractNumId w:val="10"/>
  </w:num>
  <w:num w:numId="3" w16cid:durableId="1754931333">
    <w:abstractNumId w:val="9"/>
  </w:num>
  <w:num w:numId="4" w16cid:durableId="1791852365">
    <w:abstractNumId w:val="8"/>
  </w:num>
  <w:num w:numId="5" w16cid:durableId="1835219372">
    <w:abstractNumId w:val="6"/>
  </w:num>
  <w:num w:numId="6" w16cid:durableId="1464956187">
    <w:abstractNumId w:val="5"/>
  </w:num>
  <w:num w:numId="7" w16cid:durableId="51779675">
    <w:abstractNumId w:val="4"/>
  </w:num>
  <w:num w:numId="8" w16cid:durableId="1925260700">
    <w:abstractNumId w:val="7"/>
  </w:num>
  <w:num w:numId="9" w16cid:durableId="1244753414">
    <w:abstractNumId w:val="3"/>
  </w:num>
  <w:num w:numId="10" w16cid:durableId="1399521693">
    <w:abstractNumId w:val="2"/>
  </w:num>
  <w:num w:numId="11" w16cid:durableId="1450199192">
    <w:abstractNumId w:val="1"/>
  </w:num>
  <w:num w:numId="12" w16cid:durableId="421992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hb7WPvUJBBwlO8BcFAqQ9ZlMP9ZL/GIgYkec58Qc1w8ZfjRtjqlfB9HPGqURjWb3fsXtpRKxLy36UjhZ0o67w==" w:salt="LoS1RHfpM0nHehPsSYHlg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57C7"/>
    <w:rsid w:val="0029639D"/>
    <w:rsid w:val="00326F90"/>
    <w:rsid w:val="00531B56"/>
    <w:rsid w:val="00A80CC5"/>
    <w:rsid w:val="00AA1D8D"/>
    <w:rsid w:val="00B47730"/>
    <w:rsid w:val="00B660C1"/>
    <w:rsid w:val="00CB0664"/>
    <w:rsid w:val="00D5636A"/>
    <w:rsid w:val="00FC693F"/>
    <w:rsid w:val="07699619"/>
    <w:rsid w:val="07EC0527"/>
    <w:rsid w:val="0B413FA2"/>
    <w:rsid w:val="0FE2F935"/>
    <w:rsid w:val="160AE769"/>
    <w:rsid w:val="180EAC07"/>
    <w:rsid w:val="1E56F19C"/>
    <w:rsid w:val="22176957"/>
    <w:rsid w:val="2AF335C3"/>
    <w:rsid w:val="2EE3534E"/>
    <w:rsid w:val="31545738"/>
    <w:rsid w:val="3B41B835"/>
    <w:rsid w:val="3E7960CF"/>
    <w:rsid w:val="3F65334B"/>
    <w:rsid w:val="4199C6AF"/>
    <w:rsid w:val="44BFB31E"/>
    <w:rsid w:val="48E2266E"/>
    <w:rsid w:val="4A6E27AC"/>
    <w:rsid w:val="4AEA6898"/>
    <w:rsid w:val="53F1E305"/>
    <w:rsid w:val="5A144183"/>
    <w:rsid w:val="5A694872"/>
    <w:rsid w:val="5BC872B2"/>
    <w:rsid w:val="5CC22992"/>
    <w:rsid w:val="5F268401"/>
    <w:rsid w:val="61795CC9"/>
    <w:rsid w:val="63D32F74"/>
    <w:rsid w:val="64258CF6"/>
    <w:rsid w:val="6705A743"/>
    <w:rsid w:val="67FCA8A4"/>
    <w:rsid w:val="6854EB10"/>
    <w:rsid w:val="68D39A73"/>
    <w:rsid w:val="7133EF60"/>
    <w:rsid w:val="71DB02B8"/>
    <w:rsid w:val="7F022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B5C43A5-D4D2-4DC2-AD15-BE85ED82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4E8413-12DF-4F51-86CC-966EB2927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0EF4AC-19B0-4322-A283-96096734C8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6516037A-5C0C-4F89-AC6A-A1FC9237F9E5}">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715</Words>
  <Characters>4950</Characters>
  <Application>Microsoft Office Word</Application>
  <DocSecurity>8</DocSecurity>
  <Lines>93</Lines>
  <Paragraphs>36</Paragraphs>
  <ScaleCrop>false</ScaleCrop>
  <Manager/>
  <Company/>
  <LinksUpToDate>false</LinksUpToDate>
  <CharactersWithSpaces>5629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2026-08-18T22:40:00Z</dcterms:created>
  <dcterms:modified xsi:type="dcterms:W3CDTF">2026-08-18T22:40:00Z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